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36" w:rsidRPr="009E5636" w:rsidRDefault="009E5636" w:rsidP="009E5636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E5636">
        <w:rPr>
          <w:b/>
          <w:sz w:val="28"/>
          <w:szCs w:val="28"/>
        </w:rPr>
        <w:t>Regulated Domestic Pest Program Evaluation Work Group</w:t>
      </w: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2993"/>
        <w:gridCol w:w="6125"/>
      </w:tblGrid>
      <w:tr w:rsidR="009E5636" w:rsidRPr="009E5636" w:rsidTr="009E5636">
        <w:trPr>
          <w:trHeight w:val="672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August 24, 2015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PPQ Strategic Plan Alignment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PPQ Strategic Plan Alignment: (PPQ Only)</w:t>
            </w:r>
          </w:p>
        </w:tc>
      </w:tr>
      <w:tr w:rsidR="009E5636" w:rsidRPr="009E5636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Champion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>:  Mike Watson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Goal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Cs w:val="24"/>
              </w:rPr>
              <w:t>Develop an objective, science</w:t>
            </w:r>
            <w:r w:rsidRPr="009E5636">
              <w:rPr>
                <w:rFonts w:ascii="Cambria Math" w:eastAsia="Times New Roman" w:hAnsi="Cambria Math" w:cs="Cambria Math"/>
                <w:szCs w:val="24"/>
              </w:rPr>
              <w:t>‐</w:t>
            </w:r>
            <w:r w:rsidRPr="009E5636">
              <w:rPr>
                <w:rFonts w:eastAsia="Times New Roman"/>
                <w:szCs w:val="24"/>
              </w:rPr>
              <w:t>driven evaluation process to affirm, strengthen, modify, or end regulatory efforts for identified pests. This will be achieved by providing a strong basis for continuing regulatory efforts and phasing out activities that are not cost beneficial or otherwise supported by science nor shared policies.</w:t>
            </w:r>
          </w:p>
        </w:tc>
      </w:tr>
      <w:tr w:rsidR="009E5636" w:rsidRPr="009E5636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Manager: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>Mitch Yergert (NPB), Scott Pfister (PPQ)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Performance Goals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 w:val="22"/>
              </w:rPr>
              <w:t> 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Project Update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Achievements </w:t>
            </w:r>
            <w:r w:rsidR="004503B9" w:rsidRPr="004503B9">
              <w:rPr>
                <w:rFonts w:ascii="Arial" w:hAnsi="Arial" w:cs="Arial"/>
              </w:rPr>
              <w:t>(past 90 days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)</w:t>
            </w:r>
            <w:r w:rsidRPr="009E5636">
              <w:rPr>
                <w:rFonts w:ascii="Arial" w:eastAsia="Times New Roman" w:hAnsi="Arial" w:cs="Arial"/>
                <w:szCs w:val="24"/>
              </w:rPr>
              <w:t> Key activities and completed milestones since the last report.</w:t>
            </w:r>
          </w:p>
          <w:p w:rsidR="00F50EB7" w:rsidRDefault="00F50EB7" w:rsidP="00F50EB7">
            <w:pPr>
              <w:pStyle w:val="ListParagraph"/>
              <w:numPr>
                <w:ilvl w:val="0"/>
                <w:numId w:val="1"/>
              </w:numPr>
            </w:pPr>
            <w:r>
              <w:t xml:space="preserve">The NPB members were polled regarding the proposed deregulation of Pine Shoot Beetle, </w:t>
            </w:r>
            <w:proofErr w:type="spellStart"/>
            <w:r>
              <w:t>Tomicus</w:t>
            </w:r>
            <w:proofErr w:type="spellEnd"/>
            <w:r>
              <w:t xml:space="preserve"> </w:t>
            </w:r>
            <w:proofErr w:type="spellStart"/>
            <w:r>
              <w:t>piniperda</w:t>
            </w:r>
            <w:proofErr w:type="spellEnd"/>
            <w:r>
              <w:t>, as recommended by the Strategic Alliance Working Group on Regulatory Program Evaluation. The NPB poll had twenty states responding in favor of deregulation and one against.</w:t>
            </w:r>
          </w:p>
          <w:p w:rsidR="00F50EB7" w:rsidRDefault="00F50EB7" w:rsidP="00F50EB7">
            <w:pPr>
              <w:pStyle w:val="ListParagraph"/>
              <w:numPr>
                <w:ilvl w:val="0"/>
                <w:numId w:val="1"/>
              </w:numPr>
            </w:pPr>
            <w:r>
              <w:t>The NPB President (Joe Collins) provided a letter of support for PSB deregulation to PPQ DA Osama El-Lissy.</w:t>
            </w:r>
          </w:p>
          <w:p w:rsidR="009E5636" w:rsidRPr="009E5636" w:rsidRDefault="009E5636" w:rsidP="004503B9">
            <w:pPr>
              <w:ind w:left="45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Next Steps</w:t>
            </w:r>
            <w:proofErr w:type="gramStart"/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 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Key</w:t>
            </w:r>
            <w:proofErr w:type="gramEnd"/>
            <w:r w:rsidRPr="009E5636">
              <w:rPr>
                <w:rFonts w:ascii="Arial" w:eastAsia="Times New Roman" w:hAnsi="Arial" w:cs="Arial"/>
                <w:szCs w:val="24"/>
              </w:rPr>
              <w:t xml:space="preserve"> activities to be completed in the </w:t>
            </w:r>
            <w:r w:rsidR="00274C19">
              <w:rPr>
                <w:rFonts w:ascii="Arial" w:eastAsia="Times New Roman" w:hAnsi="Arial" w:cs="Arial"/>
                <w:szCs w:val="24"/>
              </w:rPr>
              <w:t xml:space="preserve">next 90 </w:t>
            </w:r>
            <w:r w:rsidRPr="009E5636">
              <w:rPr>
                <w:rFonts w:ascii="Arial" w:eastAsia="Times New Roman" w:hAnsi="Arial" w:cs="Arial"/>
                <w:szCs w:val="24"/>
              </w:rPr>
              <w:t>days.</w:t>
            </w:r>
          </w:p>
          <w:p w:rsidR="004503B9" w:rsidRDefault="004503B9" w:rsidP="004503B9">
            <w:pPr>
              <w:ind w:left="810" w:hanging="3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1)  </w:t>
            </w:r>
            <w:r w:rsidRPr="004503B9">
              <w:rPr>
                <w:rFonts w:eastAsia="Times New Roman"/>
                <w:szCs w:val="24"/>
              </w:rPr>
              <w:t>Maintain a team to finalize a consistent, transparent process that would provide cooperating states and PPQ a basis to evaluate existing and new regulatory programs. The following products are envisioned:</w:t>
            </w:r>
          </w:p>
          <w:p w:rsidR="004503B9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Complete review of Pine Shoot Beetle evaluation and make recommendation to NPB President.</w:t>
            </w:r>
          </w:p>
          <w:p w:rsidR="009E5636" w:rsidRPr="004503B9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9E5636" w:rsidRPr="004503B9">
              <w:rPr>
                <w:rFonts w:eastAsia="Times New Roman"/>
                <w:szCs w:val="24"/>
              </w:rPr>
              <w:t>Develop charter to turn evaluation work group over to a standing NPB / PPQ Committee by Jan 1, 2016</w:t>
            </w:r>
          </w:p>
          <w:p w:rsidR="009E5636" w:rsidRPr="004503B9" w:rsidRDefault="004503B9" w:rsidP="004503B9">
            <w:pPr>
              <w:ind w:left="9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9E5636" w:rsidRPr="004503B9">
              <w:rPr>
                <w:rFonts w:eastAsia="Times New Roman"/>
                <w:szCs w:val="24"/>
              </w:rPr>
              <w:t>Maintain inventory of existing cooperative regulatory programs</w:t>
            </w:r>
          </w:p>
          <w:p w:rsidR="009E5636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="009E5636" w:rsidRPr="004503B9">
              <w:rPr>
                <w:rFonts w:eastAsia="Times New Roman"/>
                <w:szCs w:val="24"/>
              </w:rPr>
              <w:t>Finalize evaluation process, reports produced and process for communication and decision making by Jan 1, 2016</w:t>
            </w:r>
          </w:p>
          <w:p w:rsidR="004503B9" w:rsidRPr="009E5636" w:rsidRDefault="004503B9" w:rsidP="004503B9">
            <w:pPr>
              <w:ind w:left="1080" w:hanging="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Begin evaluation for Emerald Ash Borer, Japanese Beetle, European Larch Canker and Imported Fire Ant.</w:t>
            </w:r>
          </w:p>
          <w:p w:rsidR="009E5636" w:rsidRPr="009E5636" w:rsidRDefault="009E5636" w:rsidP="004503B9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Challenges: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Factors that could delay achievement of key activities or significant milestones in the next </w:t>
            </w:r>
            <w:r w:rsidRPr="004503B9">
              <w:rPr>
                <w:rFonts w:ascii="Arial" w:hAnsi="Arial" w:cs="Arial"/>
              </w:rPr>
              <w:t>90</w:t>
            </w:r>
            <w:r w:rsidRPr="009E5636">
              <w:rPr>
                <w:rFonts w:ascii="Arial" w:eastAsia="Times New Roman" w:hAnsi="Arial" w:cs="Arial"/>
                <w:szCs w:val="24"/>
              </w:rPr>
              <w:t> days.]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Symbol" w:eastAsia="Times New Roman" w:hAnsi="Symbol" w:cs="Arial"/>
                <w:szCs w:val="24"/>
              </w:rPr>
              <w:t></w:t>
            </w:r>
            <w:proofErr w:type="gramStart"/>
            <w:r w:rsidR="004503B9">
              <w:rPr>
                <w:rFonts w:eastAsia="Times New Roman"/>
                <w:sz w:val="14"/>
                <w:szCs w:val="14"/>
              </w:rPr>
              <w:t>  </w:t>
            </w:r>
            <w:r w:rsidR="004503B9">
              <w:rPr>
                <w:rFonts w:eastAsia="Times New Roman"/>
                <w:szCs w:val="24"/>
              </w:rPr>
              <w:t>Report</w:t>
            </w:r>
            <w:proofErr w:type="gramEnd"/>
            <w:r w:rsidR="004503B9">
              <w:rPr>
                <w:rFonts w:eastAsia="Times New Roman"/>
                <w:szCs w:val="24"/>
              </w:rPr>
              <w:t xml:space="preserve"> for evaluation of p</w:t>
            </w:r>
            <w:r w:rsidR="00274C19">
              <w:rPr>
                <w:rFonts w:eastAsia="Times New Roman"/>
                <w:szCs w:val="24"/>
              </w:rPr>
              <w:t>ests takes longer to develop than</w:t>
            </w:r>
            <w:r w:rsidR="004503B9">
              <w:rPr>
                <w:rFonts w:eastAsia="Times New Roman"/>
                <w:szCs w:val="24"/>
              </w:rPr>
              <w:t xml:space="preserve"> anticipated due to lack of information on the pest.</w:t>
            </w:r>
          </w:p>
          <w:p w:rsidR="009E5636" w:rsidRPr="009E5636" w:rsidRDefault="009E5636" w:rsidP="004503B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 </w:t>
            </w:r>
          </w:p>
        </w:tc>
      </w:tr>
    </w:tbl>
    <w:p w:rsidR="000E6E94" w:rsidRDefault="009E5636" w:rsidP="004503B9">
      <w:r w:rsidRPr="009E5636">
        <w:rPr>
          <w:rFonts w:ascii="Calibri" w:eastAsia="Times New Roman" w:hAnsi="Calibri"/>
          <w:sz w:val="22"/>
        </w:rPr>
        <w:t> </w:t>
      </w:r>
    </w:p>
    <w:sectPr w:rsidR="000E6E94" w:rsidSect="00274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6388F"/>
    <w:multiLevelType w:val="hybridMultilevel"/>
    <w:tmpl w:val="C44AC16A"/>
    <w:lvl w:ilvl="0" w:tplc="C846B17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6"/>
    <w:rsid w:val="000C6B78"/>
    <w:rsid w:val="000E6E94"/>
    <w:rsid w:val="00274C19"/>
    <w:rsid w:val="004503B9"/>
    <w:rsid w:val="009E5636"/>
    <w:rsid w:val="00AB2A39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F4174-A6F6-4394-8F46-E44EA1F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149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446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08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177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1212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Yergert, Mitchell</dc:creator>
  <cp:lastModifiedBy>Elhard, Charles R.</cp:lastModifiedBy>
  <cp:revision>2</cp:revision>
  <dcterms:created xsi:type="dcterms:W3CDTF">2017-04-28T16:57:00Z</dcterms:created>
  <dcterms:modified xsi:type="dcterms:W3CDTF">2017-04-28T16:57:00Z</dcterms:modified>
</cp:coreProperties>
</file>